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D3B0" w14:textId="77777777" w:rsidR="008350D5" w:rsidRDefault="008350D5" w:rsidP="00267170">
      <w:pPr>
        <w:pStyle w:val="1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 w:rsidRPr="008350D5">
        <w:rPr>
          <w:rFonts w:ascii="方正小标宋简体" w:eastAsia="方正小标宋简体" w:hAnsi="方正小标宋简体" w:cs="方正小标宋简体"/>
          <w:sz w:val="36"/>
          <w:szCs w:val="36"/>
        </w:rPr>
        <w:t>地理信息接口与 OCR 接口采购项目清单</w:t>
      </w:r>
    </w:p>
    <w:p w14:paraId="52461E5B" w14:textId="2D9612D9" w:rsidR="00FD36F1" w:rsidRDefault="00000000">
      <w:pPr>
        <w:pStyle w:val="1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一、采购清单</w:t>
      </w: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2687"/>
        <w:gridCol w:w="5408"/>
      </w:tblGrid>
      <w:tr w:rsidR="00FD36F1" w14:paraId="5632C036" w14:textId="77777777">
        <w:trPr>
          <w:tblHeader/>
        </w:trPr>
        <w:tc>
          <w:tcPr>
            <w:tcW w:w="835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shd w:val="clear" w:color="auto" w:fill="E8EE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0770FB" w14:textId="77777777" w:rsidR="00FD36F1" w:rsidRDefault="00000000">
            <w:pPr>
              <w:spacing w:before="20" w:after="2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687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shd w:val="clear" w:color="auto" w:fill="E8EE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864AEA" w14:textId="77777777" w:rsidR="00FD36F1" w:rsidRDefault="00000000">
            <w:pPr>
              <w:spacing w:before="20" w:after="2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5408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shd w:val="clear" w:color="auto" w:fill="E8EE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F4C4E7" w14:textId="77777777" w:rsidR="00FD36F1" w:rsidRDefault="00000000">
            <w:pPr>
              <w:spacing w:before="20" w:after="2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  <w:szCs w:val="24"/>
              </w:rPr>
              <w:t>主要内容</w:t>
            </w:r>
          </w:p>
        </w:tc>
      </w:tr>
      <w:tr w:rsidR="00FD36F1" w14:paraId="08549914" w14:textId="77777777">
        <w:tc>
          <w:tcPr>
            <w:tcW w:w="835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04BFD7" w14:textId="77777777" w:rsidR="00FD36F1" w:rsidRDefault="00000000">
            <w:pPr>
              <w:spacing w:before="20" w:after="30" w:line="270" w:lineRule="auto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408E58" w14:textId="1C431F7F" w:rsidR="00FD36F1" w:rsidRDefault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9E2C5E">
              <w:t>地理信息综合接口</w:t>
            </w:r>
          </w:p>
        </w:tc>
        <w:tc>
          <w:tcPr>
            <w:tcW w:w="5408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EAB7B9" w14:textId="77777777" w:rsidR="0051590B" w:rsidRPr="0051590B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地理信息综合接口服务（多坐标系转换、地址</w:t>
            </w:r>
          </w:p>
          <w:p w14:paraId="4596DF5E" w14:textId="77777777" w:rsidR="0051590B" w:rsidRPr="0051590B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正反编码、行政区划查询、POI 检索、空间测</w:t>
            </w:r>
          </w:p>
          <w:p w14:paraId="4803E49A" w14:textId="77777777" w:rsidR="0051590B" w:rsidRPr="0051590B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算、地图瓦片调用、HTTPS 加密鉴权、批量调</w:t>
            </w:r>
          </w:p>
          <w:p w14:paraId="1E644916" w14:textId="5865BE69" w:rsidR="00FD36F1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用、日志溯源</w:t>
            </w:r>
          </w:p>
        </w:tc>
      </w:tr>
      <w:tr w:rsidR="0051590B" w14:paraId="4BB1F6E2" w14:textId="77777777">
        <w:tc>
          <w:tcPr>
            <w:tcW w:w="835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870222" w14:textId="29F601C3" w:rsidR="0051590B" w:rsidRDefault="0051590B">
            <w:pPr>
              <w:spacing w:before="20" w:after="30" w:line="270" w:lineRule="auto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6998A3" w14:textId="5DD1798E" w:rsidR="0051590B" w:rsidRPr="0051590B" w:rsidRDefault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t>OCR</w:t>
            </w:r>
            <w:r w:rsidRPr="0051590B">
              <w:t>接口（企业版）</w:t>
            </w:r>
          </w:p>
        </w:tc>
        <w:tc>
          <w:tcPr>
            <w:tcW w:w="5408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B931B0" w14:textId="77777777" w:rsidR="0051590B" w:rsidRPr="0051590B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企业版 OCR 文字识别接口服务（证照、票</w:t>
            </w:r>
          </w:p>
          <w:p w14:paraId="11B3F0D3" w14:textId="77777777" w:rsidR="0051590B" w:rsidRPr="0051590B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据、文档、表格、手写体多场景识别、PDF 批量</w:t>
            </w:r>
          </w:p>
          <w:p w14:paraId="3F2A97DC" w14:textId="77777777" w:rsidR="0051590B" w:rsidRPr="0051590B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解析、版式还原、数据脱敏、异常重试、调用数</w:t>
            </w:r>
          </w:p>
          <w:p w14:paraId="1911673B" w14:textId="60109827" w:rsidR="0051590B" w:rsidRDefault="0051590B" w:rsidP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据统计）</w:t>
            </w:r>
          </w:p>
        </w:tc>
      </w:tr>
    </w:tbl>
    <w:p w14:paraId="30813DB4" w14:textId="77777777" w:rsidR="00FD36F1" w:rsidRDefault="00000000">
      <w:pPr>
        <w:pStyle w:val="1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二、技术指标</w:t>
      </w:r>
    </w:p>
    <w:p w14:paraId="6928E706" w14:textId="77777777" w:rsidR="00FD36F1" w:rsidRDefault="00000000">
      <w:pPr>
        <w:spacing w:after="120" w:line="32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本项目各模块技术指标要求如下：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427"/>
        <w:gridCol w:w="6899"/>
      </w:tblGrid>
      <w:tr w:rsidR="00FD36F1" w14:paraId="5157E270" w14:textId="77777777">
        <w:trPr>
          <w:tblHeader/>
        </w:trPr>
        <w:tc>
          <w:tcPr>
            <w:tcW w:w="700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shd w:val="clear" w:color="auto" w:fill="E8EE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33B9B4" w14:textId="77777777" w:rsidR="00FD36F1" w:rsidRDefault="00000000">
            <w:pPr>
              <w:spacing w:before="20" w:after="2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27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shd w:val="clear" w:color="auto" w:fill="E8EE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681725" w14:textId="77777777" w:rsidR="00FD36F1" w:rsidRDefault="00000000">
            <w:pPr>
              <w:spacing w:before="20" w:after="2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  <w:szCs w:val="24"/>
              </w:rPr>
              <w:t>服务内容</w:t>
            </w:r>
          </w:p>
        </w:tc>
        <w:tc>
          <w:tcPr>
            <w:tcW w:w="6899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shd w:val="clear" w:color="auto" w:fill="E8EE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4C975E" w14:textId="77777777" w:rsidR="00FD36F1" w:rsidRDefault="00000000">
            <w:pPr>
              <w:spacing w:before="20" w:after="2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  <w:szCs w:val="24"/>
              </w:rPr>
              <w:t>具体技术服务要求</w:t>
            </w:r>
          </w:p>
        </w:tc>
      </w:tr>
      <w:tr w:rsidR="00FD36F1" w14:paraId="6FF75132" w14:textId="77777777">
        <w:tc>
          <w:tcPr>
            <w:tcW w:w="700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96D51B" w14:textId="77777777" w:rsidR="00FD36F1" w:rsidRDefault="00000000">
            <w:pPr>
              <w:spacing w:before="20" w:after="30" w:line="270" w:lineRule="auto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1427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7A2E4C" w14:textId="1D83D6ED" w:rsidR="00FD36F1" w:rsidRDefault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/>
                <w:sz w:val="24"/>
                <w:szCs w:val="24"/>
              </w:rPr>
              <w:t>地理信息综合接口</w:t>
            </w:r>
          </w:p>
        </w:tc>
        <w:tc>
          <w:tcPr>
            <w:tcW w:w="6899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487CFD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 ▲ 服务范围：提供地理信息综合调用接口服务，支持多坐标系转换、地址正反编码、行政区划查询、POI检索、空间测算、地图瓦片调用，支持HTTPS加密鉴权、批量调用、日志溯源，按年授权使用。</w:t>
            </w:r>
          </w:p>
          <w:p w14:paraId="67EFB885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1.2 ▲ 多坐标系转换：支持 CGCS2000、WGS84、GCJ-02、BD-09 等常见坐标系互转；支持单点、批量及点/线/面转换；转换参数、精度与适用范围可配置并版本留痕；返回结果须标注坐标系与精度。</w:t>
            </w:r>
          </w:p>
          <w:p w14:paraId="7286B283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1.3 ▲ 地址正反编码：正向地理编码支持结构化地址、非结构化地址及批量地址；反向地理编码支持经纬度到行政区划、道路、POI、门牌等；支持模糊匹配、地址补全、置信度返回与异常说明。</w:t>
            </w:r>
          </w:p>
          <w:p w14:paraId="347B3085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1.4 行政区划查询：支持国家、省、市、区县、乡镇/街道等多级行政区划查询，支持按名称、代码、上级区划检索；返回区划代码、名称、层级、中心点/边界范围等；数据</w:t>
            </w: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版本可追溯。</w:t>
            </w:r>
          </w:p>
          <w:p w14:paraId="75012B91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1.5 POI检索：支持关键字、周边、多边形、分类、分页检索；返回名称、地址、坐标、分类、联系方式等授权字段；支持去重、排序、距离计算与结果导出。</w:t>
            </w:r>
          </w:p>
          <w:p w14:paraId="48F13DEE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1.6 空间测算：支持距离、面积、周长、缓冲区、包含、相交等常用空间计算；支持批量与异步任务；返回单位、坐标系及计算口径，确保结果可复核。</w:t>
            </w:r>
          </w:p>
          <w:p w14:paraId="69E1AECC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1.7 地图瓦片调用：支持标准瓦片服务，支持 HTTP/HTTPS、常见缩放级别、坐标系与样式；支持缓存、并发控制、失败重试；不得缓存、泄露敏感数据。</w:t>
            </w:r>
          </w:p>
          <w:p w14:paraId="11FBB210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1.8 ▲ 合规资质：地图瓦片、POI、行政区划等数据来源须合法合规，供应商应具备互联网地图服务等相关资质或提供合法授权证明；地图展示须符合国家地图管理规定，不得出现错绘、漏绘。</w:t>
            </w:r>
          </w:p>
          <w:p w14:paraId="7FEABD24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1.9 ▲ 鉴权与安全：采用 HTTPS/TLS 加密传输；支持 AK/SK、Token 或等价鉴权方式；支持 IP 白名单、</w:t>
            </w:r>
            <w:proofErr w:type="spellStart"/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Referer</w:t>
            </w:r>
            <w:proofErr w:type="spellEnd"/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限制、域名校验、签名校验、时间戳防重放；密钥不得在代码、配置或日志中明文出现，支持环境变量注入与定期轮换。</w:t>
            </w:r>
          </w:p>
          <w:p w14:paraId="6B670A28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1.10 ▲ 批量调用与限流：支持批量调用、异步任务、分页与重试；具备 QPS、日调用量限流与配额管理；超限告警；支持按应用、项目、用户维度统计调用量。</w:t>
            </w:r>
          </w:p>
          <w:p w14:paraId="6AFD98F0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1.11 日志溯源：记录调用时间、接口、请求参数摘要、响应状态、耗时、调用方、用量及异常信息；日志留存不少于6个月或按采购人要求执行，支持审计与导出，不得记录敏感明文。</w:t>
            </w:r>
          </w:p>
          <w:p w14:paraId="1DE12B7F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1.12 异常处理与降级：超时、限流、鉴权失败、数据不存在、服务不可用等须返回明确错误码与说明；支持重试、熔断、降级；接口异常不得影响业务主流程，必要时返回缓存或兜底结果并明确标注。</w:t>
            </w:r>
          </w:p>
          <w:p w14:paraId="624E67CC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1.13 性能要求：正常网络与约定并发下，常用接口响应时间应满足：坐标转换≤200ms、地址正反编码≤500ms、行政区划查询≤300ms、POI检索≤800ms、空间测算≤500ms、地图瓦片≤300ms；可用性≥99.9%；具体以性能</w:t>
            </w: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测试报告为准。</w:t>
            </w:r>
          </w:p>
          <w:p w14:paraId="74F0F3F1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1.14 数据合规：仅限采购人业务范围内使用；不得将调用数据用于对外训练、转售或向无关第三方提供；涉及个人隐私、敏感位置数据须脱敏、加密或匿名化处理，符合《网络安全法》《数据安全法》《个人信息保护法》等要求。</w:t>
            </w:r>
          </w:p>
          <w:p w14:paraId="5ACB67E6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1.15 接口与文档交付：提供接口契约（</w:t>
            </w:r>
            <w:proofErr w:type="spellStart"/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OpenAPI</w:t>
            </w:r>
            <w:proofErr w:type="spellEnd"/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/Swagger）、字段说明、错误码、调用样例、SDK/示例代码、鉴权说明、配额说明及接入文档；接口字段保持向下兼容。</w:t>
            </w:r>
          </w:p>
          <w:p w14:paraId="485DCC6E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1.16 授权与统计：按年授权使用，授权期内提供接口服务、版本升级与技术支持；提供调用量、费用/用量统计报表，可按日/月/年导出；授权到期前提醒。</w:t>
            </w:r>
          </w:p>
          <w:p w14:paraId="2E723F68" w14:textId="517864B0" w:rsidR="00FD36F1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1.17 服务与验收：提供不少于1年授权及运维服务；2小时内响应，12小时内远程处理，24小时内解决或提供应急方案；以真实业务样例完成端到端验证（鉴权→调用→返回→日志→统计→导出），提供测试方案、功能/性能/安全测试报告；▲项不满足视为不实质性响应。</w:t>
            </w:r>
          </w:p>
        </w:tc>
      </w:tr>
      <w:tr w:rsidR="00FD36F1" w14:paraId="7979E5AA" w14:textId="77777777">
        <w:tc>
          <w:tcPr>
            <w:tcW w:w="700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F2D1E3" w14:textId="77777777" w:rsidR="00FD36F1" w:rsidRDefault="00000000">
            <w:pPr>
              <w:spacing w:before="20" w:after="30" w:line="27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1427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6AF2DD" w14:textId="3842D5BD" w:rsidR="00FD36F1" w:rsidRDefault="0051590B">
            <w:pPr>
              <w:spacing w:before="20" w:after="30" w:line="270" w:lineRule="auto"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/>
                <w:sz w:val="24"/>
                <w:szCs w:val="24"/>
              </w:rPr>
              <w:t>OCR接口（企业版）</w:t>
            </w:r>
          </w:p>
        </w:tc>
        <w:tc>
          <w:tcPr>
            <w:tcW w:w="6899" w:type="dxa"/>
            <w:tcBorders>
              <w:top w:val="single" w:sz="0" w:space="0" w:color="808080"/>
              <w:left w:val="single" w:sz="0" w:space="0" w:color="808080"/>
              <w:bottom w:val="single" w:sz="0" w:space="0" w:color="808080"/>
              <w:right w:val="single" w:sz="0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A49CB4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 ▲ 服务范围：提供企业版OCR文字识别接口服务，支持证照、票据、文档、表格、手写体多场景识别，支持PDF批量解析、版式还原、数据脱敏、异常重试、调用数据统计，按年授权使用。</w:t>
            </w:r>
          </w:p>
          <w:p w14:paraId="141C70D9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2.2 ▲ 识别场景：支持证照（身份证、营业执照、资质证书等）、票据（发票、收据、报销单等）、文档（合同、公文、申报材料等）、表格（有线/无线表格、合并单元格）、手写体等；支持中英文及常见混排，支持旋转、倾斜、印章、水印等干扰场景。</w:t>
            </w:r>
          </w:p>
          <w:p w14:paraId="2221E4F0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2.3 ▲ 输出结构：返回文本、坐标、置信度、版面块、表格结构、键值对等结构化结果；支持 JSON/XML 等格式；字段命名稳定，版本向下兼容。</w:t>
            </w:r>
          </w:p>
          <w:p w14:paraId="09589632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2.4 PDF批量解析：支持文本型与图片型PDF，支持多页、批量、异步任务、进度查询、结果回调/轮询；支持指定页码范围；支持拆分、合并及结果导出。</w:t>
            </w:r>
          </w:p>
          <w:p w14:paraId="2686A8D3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2.5 版式还原：支持段落、标题、表格、图片、页眉页脚等版式还原；输出可编辑文本/表格；还原结果与原文一致，</w:t>
            </w: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位置信息可用于预览定位。</w:t>
            </w:r>
          </w:p>
          <w:p w14:paraId="17076405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2.6 数据脱敏：支持身份证号、手机号、银行卡号、地址等敏感字段识别与脱敏/加密；脱敏规则可配置；原始数据与脱敏数据权限隔离。</w:t>
            </w:r>
          </w:p>
          <w:p w14:paraId="1194E498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2.7 异常重试：对超时、限流、识别失败、文件损坏等提供明确错误码；支持自动重试、断点续传、任务幂等；不得重复计费、重复入库。</w:t>
            </w:r>
          </w:p>
          <w:p w14:paraId="1812475B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2.8 ▲ 置信度与人工复核：识别结果须返回置信度；低于设定阈值时标记“待人工复核”，不得直接作为符合/不符合结论；严禁猜测材料内容。</w:t>
            </w:r>
          </w:p>
          <w:p w14:paraId="10482103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2.9 调用统计：按接口、应用、用户、时间统计调用量、成功率、失败原因、耗时及费用；支持报表导出；支持配额管理与超限告警。</w:t>
            </w:r>
          </w:p>
          <w:p w14:paraId="3A273759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2.10 ▲ 鉴权与安全：采用 HTTPS/TLS 加密传输；支持 AK/SK、Token、签名、时间戳防重放；支持 IP 白名单、域名限制；密钥由使用单位提供并通过环境变量注入，供应商不得留存、导出、转存密钥，不得在代码、配置或日志中明文出现。</w:t>
            </w:r>
          </w:p>
          <w:p w14:paraId="0D832136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2.11 数据合规：送OCR处理的数据仅限完成识别所必需；不得用于对外训练、转售或向无关第三方提供；支持数据不留存、定期删除或加密存储；符合网络安全、数据安全、个人信息保护相关法规。</w:t>
            </w:r>
          </w:p>
          <w:p w14:paraId="7A9DB9DA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2.12 性能要求：单页印刷体识别≤3秒，证照/票据≤5秒，手写体≤8秒（视材料质量）；100页以内PDF批量解析≤5分钟；支持并发≥50 QPS或可配置；可用性≥99.9%；具体以性能测试报告为准。</w:t>
            </w:r>
          </w:p>
          <w:p w14:paraId="0FEFEAF7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2.13 准确率要求：印刷体文本识别准确率≥98%，证照/票据关键字段准确率≥95%，手写体≥90%（清晰材料）；提供准确率测试方法与样例；不达标须调优。</w:t>
            </w:r>
          </w:p>
          <w:p w14:paraId="0215C87F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2.14 异常与降级：服务不可用、超时或响应异常时自动降级，返回明确提示；不得阻塞申报、审批、评审、征集意见等主流程；提供备用模型/服务切换方案。</w:t>
            </w:r>
          </w:p>
          <w:p w14:paraId="18B95D8C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2.15 接口与文档交付：提供接口契约、字段说明、错误码、调用样例、SDK、鉴权说明、配额说明、版式/坐标说明及</w:t>
            </w: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数据字典；接口字段保持向下兼容。</w:t>
            </w:r>
          </w:p>
          <w:p w14:paraId="1A467A30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2.16 版本与升级：模型/引擎/接口版本升级须完成回归验证，保留版本记录；升级不得影响历史识别结果与已生成报告；支持按要求切换模型而无需修改业务代码。</w:t>
            </w:r>
          </w:p>
          <w:p w14:paraId="1CCA4201" w14:textId="77777777" w:rsidR="0051590B" w:rsidRPr="0051590B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2.17 授权与费用统计：按年授权使用；授权期内提供接口服务、版本升级与技术支持；提供调用量与费用统计报表，按需输出；授权到期前提醒。</w:t>
            </w:r>
          </w:p>
          <w:p w14:paraId="5F5FCE4A" w14:textId="1652ED8B" w:rsidR="00FD36F1" w:rsidRDefault="0051590B" w:rsidP="0051590B">
            <w:pPr>
              <w:spacing w:before="20" w:after="40" w:line="280" w:lineRule="auto"/>
              <w:ind w:left="760" w:hanging="7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 w:rsidRPr="0051590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2.18 服务与验收：提供不少于1年免费运维与升级服务；2小时内响应，12小时内远程处理，24小时内解决，无法修复须提供应急与备份方案；以真实证照、票据、文档、表格、手写体、PDF样例完成端到端验证（上传→解析→识别→版式还原→脱敏→统计→导出），提供测试方案、功能/性能/安全/准确率测试报告；▲项不满足视为不实质性响应。</w:t>
            </w:r>
          </w:p>
        </w:tc>
      </w:tr>
    </w:tbl>
    <w:p w14:paraId="30C8D036" w14:textId="77777777" w:rsidR="00FD36F1" w:rsidRDefault="00FD36F1">
      <w:pPr>
        <w:spacing w:after="120"/>
        <w:rPr>
          <w:rFonts w:ascii="仿宋" w:eastAsia="仿宋" w:hAnsi="仿宋" w:hint="eastAsia"/>
        </w:rPr>
      </w:pPr>
    </w:p>
    <w:sectPr w:rsidR="00FD36F1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20EC" w14:textId="77777777" w:rsidR="0089745B" w:rsidRDefault="0089745B">
      <w:r>
        <w:separator/>
      </w:r>
    </w:p>
  </w:endnote>
  <w:endnote w:type="continuationSeparator" w:id="0">
    <w:p w14:paraId="1D4105AA" w14:textId="77777777" w:rsidR="0089745B" w:rsidRDefault="00897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CFE8820D-5680-4C1D-8AEE-1C8265C96862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A3FA2293-A758-4C35-B913-9DBBB6F2BCE8}"/>
  </w:font>
  <w:font w:name="楷体_GB2312">
    <w:charset w:val="86"/>
    <w:family w:val="auto"/>
    <w:pitch w:val="default"/>
    <w:sig w:usb0="00000001" w:usb1="080E0000" w:usb2="00000000" w:usb3="00000000" w:csb0="00040000" w:csb1="00000000"/>
    <w:embedBold r:id="rId3" w:fontKey="{BD4F73EF-7F41-4CC8-B217-8B7122878CA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DE935615-62F7-4275-B717-3A17D77B495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EBEA" w14:textId="77777777" w:rsidR="00FD36F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EA9AAC" wp14:editId="0D3CA3B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3E9E43" w14:textId="77777777" w:rsidR="00FD36F1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A9AA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663E9E43" w14:textId="77777777" w:rsidR="00FD36F1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9172F" w14:textId="77777777" w:rsidR="0089745B" w:rsidRDefault="0089745B">
      <w:r>
        <w:separator/>
      </w:r>
    </w:p>
  </w:footnote>
  <w:footnote w:type="continuationSeparator" w:id="0">
    <w:p w14:paraId="048D8973" w14:textId="77777777" w:rsidR="0089745B" w:rsidRDefault="00897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1B4"/>
    <w:rsid w:val="00027B21"/>
    <w:rsid w:val="0007373D"/>
    <w:rsid w:val="0007691A"/>
    <w:rsid w:val="001756C2"/>
    <w:rsid w:val="00212C2B"/>
    <w:rsid w:val="00267170"/>
    <w:rsid w:val="003011B4"/>
    <w:rsid w:val="003A4ACE"/>
    <w:rsid w:val="004066FA"/>
    <w:rsid w:val="00485247"/>
    <w:rsid w:val="004E34E4"/>
    <w:rsid w:val="00500F8D"/>
    <w:rsid w:val="0051590B"/>
    <w:rsid w:val="00584D4C"/>
    <w:rsid w:val="005E69D5"/>
    <w:rsid w:val="006447B2"/>
    <w:rsid w:val="007736DC"/>
    <w:rsid w:val="007C3D87"/>
    <w:rsid w:val="008350D5"/>
    <w:rsid w:val="0089745B"/>
    <w:rsid w:val="008E24DC"/>
    <w:rsid w:val="00A1645C"/>
    <w:rsid w:val="00A54EA4"/>
    <w:rsid w:val="00B61217"/>
    <w:rsid w:val="00C22182"/>
    <w:rsid w:val="00C3670B"/>
    <w:rsid w:val="00C840D7"/>
    <w:rsid w:val="00CD6E55"/>
    <w:rsid w:val="00E26590"/>
    <w:rsid w:val="00FD36F1"/>
    <w:rsid w:val="0B1C57E6"/>
    <w:rsid w:val="12D63422"/>
    <w:rsid w:val="15FD3E68"/>
    <w:rsid w:val="192856A8"/>
    <w:rsid w:val="1DF75FB6"/>
    <w:rsid w:val="26795443"/>
    <w:rsid w:val="295B3C18"/>
    <w:rsid w:val="3AA52D01"/>
    <w:rsid w:val="47BE7072"/>
    <w:rsid w:val="502B2847"/>
    <w:rsid w:val="56DFB45C"/>
    <w:rsid w:val="69240146"/>
    <w:rsid w:val="6B593F3A"/>
    <w:rsid w:val="7B4B4308"/>
    <w:rsid w:val="7EBC28D5"/>
    <w:rsid w:val="B4DF8AAD"/>
    <w:rsid w:val="BBFF64FA"/>
    <w:rsid w:val="F7B0A0EC"/>
    <w:rsid w:val="FEB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C48160"/>
  <w15:docId w15:val="{46869554-2AEF-43DE-A49F-F9857A1D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paragraph" w:styleId="1">
    <w:name w:val="heading 1"/>
    <w:next w:val="a"/>
    <w:qFormat/>
    <w:pPr>
      <w:spacing w:before="320" w:after="160"/>
      <w:outlineLvl w:val="0"/>
    </w:pPr>
    <w:rPr>
      <w:rFonts w:ascii="Arial" w:eastAsia="黑体" w:hAnsi="Arial" w:cs="Arial"/>
      <w:b/>
      <w:bCs/>
      <w:sz w:val="30"/>
      <w:szCs w:val="30"/>
    </w:rPr>
  </w:style>
  <w:style w:type="paragraph" w:styleId="2">
    <w:name w:val="heading 2"/>
    <w:next w:val="a"/>
    <w:qFormat/>
    <w:pPr>
      <w:spacing w:before="240" w:after="120"/>
      <w:outlineLvl w:val="1"/>
    </w:pPr>
    <w:rPr>
      <w:rFonts w:ascii="Arial" w:eastAsia="黑体" w:hAnsi="Arial" w:cs="Arial"/>
      <w:b/>
      <w:bCs/>
      <w:sz w:val="25"/>
      <w:szCs w:val="25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1"/>
      <w:szCs w:val="21"/>
    </w:rPr>
  </w:style>
  <w:style w:type="paragraph" w:styleId="5">
    <w:name w:val="heading 5"/>
    <w:next w:val="a"/>
    <w:qFormat/>
    <w:pPr>
      <w:outlineLvl w:val="4"/>
    </w:pPr>
    <w:rPr>
      <w:color w:val="2E74B5"/>
      <w:sz w:val="21"/>
      <w:szCs w:val="21"/>
    </w:rPr>
  </w:style>
  <w:style w:type="paragraph" w:styleId="6">
    <w:name w:val="heading 6"/>
    <w:next w:val="a"/>
    <w:qFormat/>
    <w:pPr>
      <w:outlineLvl w:val="5"/>
    </w:pPr>
    <w:rPr>
      <w:color w:val="1F4D7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  <w:qFormat/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link w:val="aa"/>
    <w:uiPriority w:val="99"/>
    <w:semiHidden/>
    <w:unhideWhenUsed/>
    <w:qFormat/>
  </w:style>
  <w:style w:type="paragraph" w:styleId="ab">
    <w:name w:val="Title"/>
    <w:qFormat/>
    <w:rPr>
      <w:sz w:val="56"/>
      <w:szCs w:val="56"/>
    </w:rPr>
  </w:style>
  <w:style w:type="character" w:styleId="ac">
    <w:name w:val="endnote reference"/>
    <w:uiPriority w:val="99"/>
    <w:semiHidden/>
    <w:unhideWhenUsed/>
    <w:qFormat/>
    <w:rPr>
      <w:vertAlign w:val="superscript"/>
    </w:rPr>
  </w:style>
  <w:style w:type="character" w:styleId="ad">
    <w:name w:val="Hyperlink"/>
    <w:uiPriority w:val="99"/>
    <w:unhideWhenUsed/>
    <w:qFormat/>
    <w:rPr>
      <w:color w:val="0563C1"/>
      <w:u w:val="single"/>
    </w:rPr>
  </w:style>
  <w:style w:type="character" w:styleId="ae">
    <w:name w:val="footnote reference"/>
    <w:uiPriority w:val="99"/>
    <w:semiHidden/>
    <w:unhideWhenUsed/>
    <w:qFormat/>
    <w:rPr>
      <w:vertAlign w:val="superscript"/>
    </w:rPr>
  </w:style>
  <w:style w:type="paragraph" w:styleId="af">
    <w:name w:val="List Paragraph"/>
    <w:qFormat/>
    <w:rPr>
      <w:sz w:val="21"/>
      <w:szCs w:val="21"/>
    </w:rPr>
  </w:style>
  <w:style w:type="character" w:customStyle="1" w:styleId="aa">
    <w:name w:val="脚注文本 字符"/>
    <w:link w:val="a9"/>
    <w:uiPriority w:val="99"/>
    <w:semiHidden/>
    <w:unhideWhenUsed/>
    <w:qFormat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qFormat/>
    <w:rPr>
      <w:sz w:val="20"/>
      <w:szCs w:val="20"/>
    </w:rPr>
  </w:style>
  <w:style w:type="character" w:customStyle="1" w:styleId="a8">
    <w:name w:val="页眉 字符"/>
    <w:basedOn w:val="a0"/>
    <w:link w:val="a7"/>
    <w:qFormat/>
    <w:rPr>
      <w:sz w:val="18"/>
      <w:szCs w:val="18"/>
    </w:rPr>
  </w:style>
  <w:style w:type="character" w:customStyle="1" w:styleId="a6">
    <w:name w:val="页脚 字符"/>
    <w:basedOn w:val="a0"/>
    <w:link w:val="a5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静远 陈</cp:lastModifiedBy>
  <cp:revision>4</cp:revision>
  <dcterms:created xsi:type="dcterms:W3CDTF">2026-09-11T17:59:00Z</dcterms:created>
  <dcterms:modified xsi:type="dcterms:W3CDTF">2026-09-23T10:09:00Z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eyJoZGlkIjoiYjM2ZjBmYjljZTE5ODIwNTEwODkwNDdmNjI1ZTBjOTciLCJ1c2VySWQiOiIxNzM2NTc3Njg5In0=</vt:lpwstr>
  </property>
  <property fmtid="{D5CDD505-2E9C-101B-9397-08002B2CF9AE}" pid="3" name="KSOProductBuildVer">
    <vt:lpwstr>2052-12.1.0.28505</vt:lpwstr>
  </property>
  <property fmtid="{D5CDD505-2E9C-101B-9397-08002B2CF9AE}" pid="4" name="ICV">
    <vt:lpwstr>C922ED06AFB54F8A9FF9906A6C727A5B_12</vt:lpwstr>
  </property>
</Properties>
</file>